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2890838" cy="71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1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الاردن</w:t>
      </w:r>
      <w:r w:rsidDel="00000000" w:rsidR="00000000" w:rsidRPr="00000000">
        <w:rPr>
          <w:rtl w:val="1"/>
        </w:rPr>
        <w:t xml:space="preserve">. 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www.lawinjordan.com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مضاربة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بالمال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بالخبرة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): ....................................................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الخبرة</w:t>
      </w:r>
      <w:r w:rsidDel="00000000" w:rsidR="00000000" w:rsidRPr="00000000">
        <w:rPr>
          <w:rtl w:val="1"/>
        </w:rPr>
        <w:t xml:space="preserve">): ....................................................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مضاربة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ويقع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ويكون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غرضه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يقد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</w:t>
      </w:r>
      <w:r w:rsidDel="00000000" w:rsidR="00000000" w:rsidRPr="00000000">
        <w:rPr>
          <w:rtl w:val="1"/>
        </w:rPr>
        <w:t xml:space="preserve">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كأصل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مضاربة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يتعهد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باستثمار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والربح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:  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(....%) </w:t>
      </w:r>
      <w:r w:rsidDel="00000000" w:rsidR="00000000" w:rsidRPr="00000000">
        <w:rPr>
          <w:rtl w:val="1"/>
        </w:rPr>
        <w:t xml:space="preserve">لصاحب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(....%) </w:t>
      </w:r>
      <w:r w:rsidDel="00000000" w:rsidR="00000000" w:rsidRPr="00000000">
        <w:rPr>
          <w:rtl w:val="1"/>
        </w:rPr>
        <w:t xml:space="preserve">للمضارب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الخسارة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المستثم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588 </w:t>
      </w: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يليها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الإدارة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المضاربة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(.......)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المضاربة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النزاعات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(30)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للتحكيم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الهاشمية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الثامن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ملزم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ونافذ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توثيقه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وموقع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المضارب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الشهود</w:t>
      </w:r>
      <w:r w:rsidDel="00000000" w:rsidR="00000000" w:rsidRPr="00000000">
        <w:rPr>
          <w:rtl w:val="1"/>
        </w:rPr>
        <w:t xml:space="preserve">:  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  </w:t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awinjord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